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40D0" w14:textId="1D4A57D1" w:rsidR="0070525A" w:rsidRPr="0070525A" w:rsidRDefault="000A4EA9" w:rsidP="004B5A5F">
      <w:r w:rsidRPr="004B5A5F">
        <w:rPr>
          <w:noProof/>
        </w:rPr>
        <w:drawing>
          <wp:anchor distT="0" distB="0" distL="114300" distR="114300" simplePos="0" relativeHeight="251658240" behindDoc="1" locked="0" layoutInCell="1" allowOverlap="1" wp14:anchorId="6BCDFFBA" wp14:editId="4817B89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43050" cy="1543050"/>
            <wp:effectExtent l="0" t="0" r="0" b="0"/>
            <wp:wrapTight wrapText="bothSides">
              <wp:wrapPolygon edited="0">
                <wp:start x="9333" y="267"/>
                <wp:lineTo x="7200" y="1067"/>
                <wp:lineTo x="2133" y="4000"/>
                <wp:lineTo x="2133" y="5067"/>
                <wp:lineTo x="1067" y="7467"/>
                <wp:lineTo x="533" y="9600"/>
                <wp:lineTo x="800" y="13600"/>
                <wp:lineTo x="3467" y="18400"/>
                <wp:lineTo x="9333" y="21067"/>
                <wp:lineTo x="12000" y="21067"/>
                <wp:lineTo x="17867" y="18400"/>
                <wp:lineTo x="20533" y="13600"/>
                <wp:lineTo x="21067" y="9333"/>
                <wp:lineTo x="20000" y="6667"/>
                <wp:lineTo x="19467" y="4000"/>
                <wp:lineTo x="14133" y="1067"/>
                <wp:lineTo x="12000" y="267"/>
                <wp:lineTo x="9333" y="267"/>
              </wp:wrapPolygon>
            </wp:wrapTight>
            <wp:docPr id="2" name="Picture 2" descr="https://www.umw.edu/social/wp-content/uploads/sites/12/2021/08/ReversedWhiteBlueUMWcirclewordmark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mw.edu/social/wp-content/uploads/sites/12/2021/08/ReversedWhiteBlueUMWcirclewordmark-300x3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525A">
        <w:t xml:space="preserve"> </w:t>
      </w:r>
    </w:p>
    <w:p w14:paraId="19243226" w14:textId="2F51BD72" w:rsidR="0070525A" w:rsidRDefault="00CA77C2" w:rsidP="004B5A5F">
      <w:pPr>
        <w:rPr>
          <w:rFonts w:ascii="Verdana" w:hAnsi="Verdana" w:cs="Tahoma"/>
          <w:sz w:val="28"/>
        </w:rPr>
      </w:pPr>
      <w:r>
        <w:rPr>
          <w:rFonts w:ascii="Verdana" w:hAnsi="Verdana"/>
          <w:sz w:val="28"/>
        </w:rPr>
        <w:t>S</w:t>
      </w:r>
      <w:r w:rsidR="003E36B0" w:rsidRPr="004B5A5F">
        <w:rPr>
          <w:rFonts w:ascii="Verdana" w:hAnsi="Verdana"/>
          <w:sz w:val="28"/>
        </w:rPr>
        <w:t>tudent Employment Hire Form</w:t>
      </w:r>
      <w:r w:rsidR="000E7F75">
        <w:rPr>
          <w:rFonts w:ascii="Verdana" w:hAnsi="Verdana"/>
          <w:sz w:val="28"/>
        </w:rPr>
        <w:t xml:space="preserve"> </w:t>
      </w:r>
      <w:r w:rsidR="001C3B67" w:rsidRPr="004B5A5F">
        <w:rPr>
          <w:rFonts w:ascii="Verdana" w:hAnsi="Verdana"/>
          <w:sz w:val="28"/>
        </w:rPr>
        <w:t>20</w:t>
      </w:r>
      <w:r w:rsidR="009D3152" w:rsidRPr="004B5A5F">
        <w:rPr>
          <w:rFonts w:ascii="Verdana" w:hAnsi="Verdana"/>
          <w:sz w:val="28"/>
        </w:rPr>
        <w:t>2</w:t>
      </w:r>
      <w:r w:rsidR="003F5C2A">
        <w:rPr>
          <w:rFonts w:ascii="Verdana" w:hAnsi="Verdana"/>
          <w:sz w:val="28"/>
        </w:rPr>
        <w:t>5</w:t>
      </w:r>
      <w:r w:rsidR="001C3B67" w:rsidRPr="004B5A5F">
        <w:rPr>
          <w:rFonts w:ascii="Verdana" w:hAnsi="Verdana"/>
          <w:sz w:val="28"/>
        </w:rPr>
        <w:t>-20</w:t>
      </w:r>
      <w:r w:rsidR="00D12616" w:rsidRPr="004B5A5F">
        <w:rPr>
          <w:rFonts w:ascii="Verdana" w:hAnsi="Verdana"/>
          <w:sz w:val="28"/>
        </w:rPr>
        <w:t>2</w:t>
      </w:r>
      <w:r w:rsidR="003F5C2A">
        <w:rPr>
          <w:rFonts w:ascii="Verdana" w:hAnsi="Verdana"/>
          <w:sz w:val="28"/>
        </w:rPr>
        <w:t>6</w:t>
      </w:r>
      <w:r w:rsidR="0070525A" w:rsidRPr="009D3152">
        <w:rPr>
          <w:rFonts w:ascii="Georgia" w:hAnsi="Georgia"/>
          <w:sz w:val="28"/>
        </w:rPr>
        <w:br/>
      </w:r>
      <w:r w:rsidR="0070525A" w:rsidRPr="004B5A5F">
        <w:rPr>
          <w:rFonts w:ascii="Verdana" w:hAnsi="Verdana" w:cs="Tahoma"/>
          <w:sz w:val="28"/>
        </w:rPr>
        <w:t>University of Mary Washington</w:t>
      </w:r>
    </w:p>
    <w:p w14:paraId="54584763" w14:textId="02185CF2" w:rsidR="004B5A5F" w:rsidRPr="004B5A5F" w:rsidRDefault="004B5A5F" w:rsidP="004B5A5F">
      <w:pPr>
        <w:rPr>
          <w:rFonts w:ascii="Verdana" w:hAnsi="Verdana" w:cs="Tahoma"/>
          <w:sz w:val="20"/>
        </w:rPr>
      </w:pPr>
    </w:p>
    <w:p w14:paraId="70B4C7D8" w14:textId="37088AA2" w:rsidR="00661EB7" w:rsidRPr="004B5A5F" w:rsidRDefault="000C05AC" w:rsidP="00E11048">
      <w:pPr>
        <w:tabs>
          <w:tab w:val="left" w:pos="4215"/>
        </w:tabs>
        <w:rPr>
          <w:rFonts w:ascii="Verdana" w:hAnsi="Verdana" w:cs="Tahoma"/>
          <w:sz w:val="24"/>
        </w:rPr>
      </w:pPr>
      <w:r>
        <w:rPr>
          <w:rFonts w:ascii="Verdana" w:hAnsi="Verdana" w:cs="Tahoma"/>
          <w:sz w:val="20"/>
          <w:szCs w:val="20"/>
        </w:rPr>
        <w:t>FOAP to Charge: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 w:rsidR="00E11048" w:rsidRPr="004B5A5F">
        <w:rPr>
          <w:rFonts w:ascii="Verdana" w:hAnsi="Verdana" w:cs="Tahoma"/>
          <w:sz w:val="24"/>
        </w:rPr>
        <w:tab/>
      </w:r>
      <w:r w:rsidR="00057A28" w:rsidRPr="004B5A5F">
        <w:rPr>
          <w:rFonts w:ascii="Verdana" w:hAnsi="Verdana" w:cs="Tahoma"/>
          <w:sz w:val="24"/>
        </w:rPr>
        <w:t xml:space="preserve"> </w:t>
      </w:r>
      <w:r w:rsidR="00C12A2C" w:rsidRPr="004B5A5F">
        <w:rPr>
          <w:rFonts w:ascii="Verdana" w:hAnsi="Verdana" w:cs="Tahoma"/>
          <w:sz w:val="24"/>
        </w:rPr>
        <w:tab/>
      </w:r>
      <w:r w:rsidR="00C12A2C" w:rsidRPr="004B5A5F">
        <w:rPr>
          <w:rFonts w:ascii="Verdana" w:hAnsi="Verdana" w:cs="Tahoma"/>
          <w:sz w:val="24"/>
        </w:rPr>
        <w:tab/>
      </w:r>
      <w:r w:rsidR="00057A28" w:rsidRPr="004B5A5F">
        <w:rPr>
          <w:rFonts w:ascii="Verdana" w:hAnsi="Verdana" w:cs="Tahoma"/>
          <w:sz w:val="24"/>
        </w:rPr>
        <w:t xml:space="preserve"> </w:t>
      </w:r>
      <w:r w:rsidR="004E5022">
        <w:rPr>
          <w:rFonts w:ascii="Verdana" w:hAnsi="Verdana" w:cs="Tahoma"/>
          <w:sz w:val="24"/>
        </w:rPr>
        <w:tab/>
      </w:r>
      <w:r w:rsidR="00437D09" w:rsidRPr="000C05AC">
        <w:rPr>
          <w:rFonts w:ascii="Verdana" w:hAnsi="Verdana" w:cs="Tahoma"/>
          <w:sz w:val="20"/>
          <w:szCs w:val="20"/>
        </w:rPr>
        <w:t>Student Employee’s Job Title:</w:t>
      </w:r>
    </w:p>
    <w:p w14:paraId="62638A80" w14:textId="7C7208C2" w:rsidR="00661EB7" w:rsidRPr="004B5A5F" w:rsidRDefault="004B5A5F" w:rsidP="00661EB7">
      <w:pPr>
        <w:rPr>
          <w:rFonts w:ascii="Verdana" w:hAnsi="Verdana" w:cs="Tahoma"/>
          <w:sz w:val="24"/>
        </w:rPr>
      </w:pPr>
      <w:r w:rsidRPr="004B5A5F">
        <w:rPr>
          <w:rFonts w:ascii="Verdana" w:hAnsi="Verdana" w:cs="Tahoma"/>
          <w:sz w:val="24"/>
        </w:rPr>
        <w:t xml:space="preserve"> </w:t>
      </w:r>
      <w:r w:rsidR="00CA77C2">
        <w:rPr>
          <w:rFonts w:ascii="Verdana" w:hAnsi="Verdana" w:cs="Tahoma"/>
          <w:sz w:val="24"/>
        </w:rPr>
        <w:t xml:space="preserve">       </w:t>
      </w:r>
      <w:proofErr w:type="spellStart"/>
      <w:r w:rsidRPr="004E5022">
        <w:rPr>
          <w:rFonts w:ascii="Verdana" w:hAnsi="Verdana" w:cs="Tahoma"/>
          <w:sz w:val="20"/>
          <w:szCs w:val="20"/>
        </w:rPr>
        <w:t>My</w:t>
      </w:r>
      <w:r w:rsidR="001C3B67" w:rsidRPr="004E5022">
        <w:rPr>
          <w:rFonts w:ascii="Verdana" w:hAnsi="Verdana" w:cs="Tahoma"/>
          <w:sz w:val="20"/>
          <w:szCs w:val="20"/>
        </w:rPr>
        <w:t>Time</w:t>
      </w:r>
      <w:proofErr w:type="spellEnd"/>
      <w:r w:rsidR="00661EB7" w:rsidRPr="004E5022">
        <w:rPr>
          <w:rFonts w:ascii="Verdana" w:hAnsi="Verdana" w:cs="Tahoma"/>
          <w:sz w:val="20"/>
          <w:szCs w:val="20"/>
        </w:rPr>
        <w:t xml:space="preserve"> Supervisor’s Name</w:t>
      </w:r>
      <w:r w:rsidR="00661EB7" w:rsidRPr="004B5A5F">
        <w:rPr>
          <w:rFonts w:ascii="Verdana" w:hAnsi="Verdana" w:cs="Tahoma"/>
          <w:sz w:val="24"/>
        </w:rPr>
        <w:t xml:space="preserve">: </w:t>
      </w:r>
      <w:r w:rsidR="00661EB7" w:rsidRPr="004B5A5F">
        <w:rPr>
          <w:rFonts w:ascii="Verdana" w:hAnsi="Verdana" w:cs="Tahoma"/>
          <w:sz w:val="24"/>
        </w:rPr>
        <w:tab/>
      </w:r>
      <w:r w:rsidR="004E5022">
        <w:rPr>
          <w:rFonts w:ascii="Verdana" w:hAnsi="Verdana" w:cs="Tahoma"/>
          <w:sz w:val="24"/>
        </w:rPr>
        <w:t xml:space="preserve">         </w:t>
      </w:r>
      <w:r w:rsidR="00020F2E">
        <w:rPr>
          <w:rFonts w:ascii="Verdana" w:hAnsi="Verdana" w:cs="Tahoma"/>
          <w:sz w:val="24"/>
        </w:rPr>
        <w:tab/>
      </w:r>
      <w:r w:rsidR="00020F2E">
        <w:rPr>
          <w:rFonts w:ascii="Verdana" w:hAnsi="Verdana" w:cs="Tahoma"/>
          <w:sz w:val="24"/>
        </w:rPr>
        <w:tab/>
      </w:r>
      <w:r w:rsidR="00661EB7" w:rsidRPr="004E5022">
        <w:rPr>
          <w:rFonts w:ascii="Verdana" w:hAnsi="Verdana" w:cs="Tahoma"/>
          <w:sz w:val="20"/>
          <w:szCs w:val="20"/>
        </w:rPr>
        <w:t>Date</w:t>
      </w:r>
      <w:r w:rsidR="00661EB7" w:rsidRPr="004B5A5F">
        <w:rPr>
          <w:rFonts w:ascii="Verdana" w:hAnsi="Verdana" w:cs="Tahoma"/>
          <w:sz w:val="24"/>
        </w:rPr>
        <w:t xml:space="preserve">: 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1615"/>
        <w:gridCol w:w="2610"/>
        <w:gridCol w:w="1170"/>
        <w:gridCol w:w="1710"/>
        <w:gridCol w:w="1440"/>
        <w:gridCol w:w="5670"/>
      </w:tblGrid>
      <w:tr w:rsidR="00FA1579" w:rsidRPr="009D3152" w14:paraId="7168B1FD" w14:textId="77777777" w:rsidTr="00CA77C2">
        <w:trPr>
          <w:trHeight w:val="354"/>
        </w:trPr>
        <w:tc>
          <w:tcPr>
            <w:tcW w:w="1615" w:type="dxa"/>
            <w:tcBorders>
              <w:top w:val="single" w:sz="4" w:space="0" w:color="1F3864" w:themeColor="accent5" w:themeShade="80"/>
              <w:left w:val="single" w:sz="4" w:space="0" w:color="767171" w:themeColor="background2" w:themeShade="80"/>
              <w:bottom w:val="thinThickSmallGap" w:sz="24" w:space="0" w:color="1F3864" w:themeColor="accent5" w:themeShade="80"/>
              <w:right w:val="single" w:sz="4" w:space="0" w:color="767171" w:themeColor="background2" w:themeShade="80"/>
            </w:tcBorders>
            <w:shd w:val="clear" w:color="auto" w:fill="9CC2E5" w:themeFill="accent1" w:themeFillTint="99"/>
            <w:vAlign w:val="center"/>
          </w:tcPr>
          <w:p w14:paraId="1FC53308" w14:textId="06AC0D17" w:rsidR="00016EE8" w:rsidRPr="00015797" w:rsidRDefault="00016EE8" w:rsidP="003E36B0">
            <w:pPr>
              <w:rPr>
                <w:rFonts w:ascii="Bahnschrift SemiLight" w:hAnsi="Bahnschrift SemiLight" w:cs="Arial"/>
                <w:sz w:val="24"/>
                <w:szCs w:val="23"/>
              </w:rPr>
            </w:pPr>
            <w:r w:rsidRPr="00015797">
              <w:rPr>
                <w:rFonts w:ascii="Bahnschrift SemiLight" w:hAnsi="Bahnschrift SemiLight" w:cs="Arial"/>
                <w:sz w:val="24"/>
                <w:szCs w:val="23"/>
              </w:rPr>
              <w:t>Banner ID</w:t>
            </w:r>
            <w:r w:rsidR="00455874" w:rsidRPr="00015797">
              <w:rPr>
                <w:rFonts w:ascii="Bahnschrift SemiLight" w:hAnsi="Bahnschrift SemiLight" w:cs="Arial"/>
                <w:sz w:val="24"/>
                <w:szCs w:val="23"/>
              </w:rPr>
              <w:t xml:space="preserve"> #</w:t>
            </w:r>
          </w:p>
        </w:tc>
        <w:tc>
          <w:tcPr>
            <w:tcW w:w="2610" w:type="dxa"/>
            <w:tcBorders>
              <w:top w:val="single" w:sz="4" w:space="0" w:color="1F3864" w:themeColor="accent5" w:themeShade="80"/>
              <w:left w:val="single" w:sz="4" w:space="0" w:color="767171" w:themeColor="background2" w:themeShade="80"/>
              <w:bottom w:val="thinThickSmallGap" w:sz="24" w:space="0" w:color="1F3864" w:themeColor="accent5" w:themeShade="80"/>
              <w:right w:val="single" w:sz="4" w:space="0" w:color="767171" w:themeColor="background2" w:themeShade="80"/>
            </w:tcBorders>
            <w:shd w:val="clear" w:color="auto" w:fill="9CC2E5" w:themeFill="accent1" w:themeFillTint="99"/>
            <w:vAlign w:val="center"/>
          </w:tcPr>
          <w:p w14:paraId="6B438E46" w14:textId="0B88A8DE" w:rsidR="00016EE8" w:rsidRPr="00015797" w:rsidRDefault="00016EE8" w:rsidP="003E36B0">
            <w:pPr>
              <w:rPr>
                <w:rFonts w:ascii="Bahnschrift SemiLight" w:hAnsi="Bahnschrift SemiLight" w:cs="Arial"/>
                <w:sz w:val="24"/>
                <w:szCs w:val="23"/>
              </w:rPr>
            </w:pPr>
            <w:r w:rsidRPr="00015797">
              <w:rPr>
                <w:rFonts w:ascii="Bahnschrift SemiLight" w:hAnsi="Bahnschrift SemiLight" w:cs="Arial"/>
                <w:sz w:val="24"/>
                <w:szCs w:val="23"/>
              </w:rPr>
              <w:t>Student’s</w:t>
            </w:r>
            <w:r w:rsidR="00CA77C2">
              <w:rPr>
                <w:rFonts w:ascii="Bahnschrift SemiLight" w:hAnsi="Bahnschrift SemiLight" w:cs="Arial"/>
                <w:sz w:val="24"/>
                <w:szCs w:val="23"/>
              </w:rPr>
              <w:t xml:space="preserve"> </w:t>
            </w:r>
            <w:r w:rsidRPr="00015797">
              <w:rPr>
                <w:rFonts w:ascii="Bahnschrift SemiLight" w:hAnsi="Bahnschrift SemiLight" w:cs="Arial"/>
                <w:sz w:val="24"/>
                <w:szCs w:val="23"/>
              </w:rPr>
              <w:t>Name</w:t>
            </w:r>
          </w:p>
        </w:tc>
        <w:tc>
          <w:tcPr>
            <w:tcW w:w="1170" w:type="dxa"/>
            <w:tcBorders>
              <w:top w:val="single" w:sz="4" w:space="0" w:color="1F3864" w:themeColor="accent5" w:themeShade="80"/>
              <w:left w:val="single" w:sz="4" w:space="0" w:color="767171" w:themeColor="background2" w:themeShade="80"/>
              <w:bottom w:val="thinThickSmallGap" w:sz="24" w:space="0" w:color="1F3864" w:themeColor="accent5" w:themeShade="80"/>
              <w:right w:val="single" w:sz="4" w:space="0" w:color="767171" w:themeColor="background2" w:themeShade="80"/>
            </w:tcBorders>
            <w:shd w:val="clear" w:color="auto" w:fill="9CC2E5" w:themeFill="accent1" w:themeFillTint="99"/>
            <w:vAlign w:val="center"/>
          </w:tcPr>
          <w:p w14:paraId="19B60181" w14:textId="1A416245" w:rsidR="00016EE8" w:rsidRPr="00015797" w:rsidRDefault="00016EE8" w:rsidP="003E36B0">
            <w:pPr>
              <w:rPr>
                <w:rFonts w:ascii="Bahnschrift SemiLight" w:hAnsi="Bahnschrift SemiLight" w:cs="Arial"/>
                <w:sz w:val="24"/>
                <w:szCs w:val="23"/>
              </w:rPr>
            </w:pPr>
            <w:r w:rsidRPr="00015797">
              <w:rPr>
                <w:rFonts w:ascii="Bahnschrift SemiLight" w:hAnsi="Bahnschrift SemiLight" w:cs="Arial"/>
                <w:sz w:val="24"/>
                <w:szCs w:val="23"/>
              </w:rPr>
              <w:t xml:space="preserve">Pay </w:t>
            </w:r>
            <w:r w:rsidR="00CA77C2">
              <w:rPr>
                <w:rFonts w:ascii="Bahnschrift SemiLight" w:hAnsi="Bahnschrift SemiLight" w:cs="Arial"/>
                <w:sz w:val="24"/>
                <w:szCs w:val="23"/>
              </w:rPr>
              <w:t>R</w:t>
            </w:r>
            <w:r w:rsidRPr="00015797">
              <w:rPr>
                <w:rFonts w:ascii="Bahnschrift SemiLight" w:hAnsi="Bahnschrift SemiLight" w:cs="Arial"/>
                <w:sz w:val="24"/>
                <w:szCs w:val="23"/>
              </w:rPr>
              <w:t>ate</w:t>
            </w:r>
          </w:p>
        </w:tc>
        <w:tc>
          <w:tcPr>
            <w:tcW w:w="1710" w:type="dxa"/>
            <w:tcBorders>
              <w:top w:val="single" w:sz="4" w:space="0" w:color="1F3864" w:themeColor="accent5" w:themeShade="80"/>
              <w:left w:val="single" w:sz="4" w:space="0" w:color="767171" w:themeColor="background2" w:themeShade="80"/>
              <w:bottom w:val="thinThickSmallGap" w:sz="24" w:space="0" w:color="1F3864" w:themeColor="accent5" w:themeShade="80"/>
              <w:right w:val="single" w:sz="4" w:space="0" w:color="767171" w:themeColor="background2" w:themeShade="80"/>
            </w:tcBorders>
            <w:shd w:val="clear" w:color="auto" w:fill="9CC2E5" w:themeFill="accent1" w:themeFillTint="99"/>
            <w:vAlign w:val="center"/>
          </w:tcPr>
          <w:p w14:paraId="03995767" w14:textId="09BCDD49" w:rsidR="00016EE8" w:rsidRPr="00015797" w:rsidRDefault="00CA77C2" w:rsidP="00851829">
            <w:pPr>
              <w:rPr>
                <w:rFonts w:ascii="Bahnschrift SemiLight" w:hAnsi="Bahnschrift SemiLight" w:cs="Arial"/>
                <w:sz w:val="24"/>
                <w:szCs w:val="23"/>
              </w:rPr>
            </w:pPr>
            <w:r>
              <w:rPr>
                <w:rFonts w:ascii="Bahnschrift SemiLight" w:hAnsi="Bahnschrift SemiLight" w:cs="Arial"/>
                <w:sz w:val="24"/>
                <w:szCs w:val="23"/>
              </w:rPr>
              <w:t>New</w:t>
            </w:r>
            <w:r w:rsidR="00602303">
              <w:rPr>
                <w:rFonts w:ascii="Bahnschrift SemiLight" w:hAnsi="Bahnschrift SemiLight" w:cs="Arial"/>
                <w:sz w:val="24"/>
                <w:szCs w:val="23"/>
              </w:rPr>
              <w:t>/</w:t>
            </w:r>
            <w:r>
              <w:rPr>
                <w:rFonts w:ascii="Bahnschrift SemiLight" w:hAnsi="Bahnschrift SemiLight" w:cs="Arial"/>
                <w:sz w:val="24"/>
                <w:szCs w:val="23"/>
              </w:rPr>
              <w:t>Rehire</w:t>
            </w:r>
            <w:r w:rsidR="00602303">
              <w:rPr>
                <w:rFonts w:ascii="Bahnschrift SemiLight" w:hAnsi="Bahnschrift SemiLight" w:cs="Arial"/>
                <w:sz w:val="24"/>
                <w:szCs w:val="23"/>
              </w:rPr>
              <w:t xml:space="preserve"> to Student Employment</w:t>
            </w:r>
          </w:p>
        </w:tc>
        <w:tc>
          <w:tcPr>
            <w:tcW w:w="1440" w:type="dxa"/>
            <w:tcBorders>
              <w:top w:val="single" w:sz="4" w:space="0" w:color="1F3864" w:themeColor="accent5" w:themeShade="80"/>
              <w:left w:val="single" w:sz="4" w:space="0" w:color="767171" w:themeColor="background2" w:themeShade="80"/>
              <w:bottom w:val="thinThickSmallGap" w:sz="24" w:space="0" w:color="1F3864" w:themeColor="accent5" w:themeShade="80"/>
              <w:right w:val="single" w:sz="4" w:space="0" w:color="767171" w:themeColor="background2" w:themeShade="80"/>
            </w:tcBorders>
            <w:shd w:val="clear" w:color="auto" w:fill="9CC2E5" w:themeFill="accent1" w:themeFillTint="99"/>
            <w:vAlign w:val="center"/>
          </w:tcPr>
          <w:p w14:paraId="2CBAC696" w14:textId="77777777" w:rsidR="00016EE8" w:rsidRPr="00015797" w:rsidRDefault="00016EE8" w:rsidP="003E36B0">
            <w:pPr>
              <w:rPr>
                <w:rFonts w:ascii="Bahnschrift SemiLight" w:hAnsi="Bahnschrift SemiLight" w:cs="Arial"/>
                <w:sz w:val="24"/>
                <w:szCs w:val="23"/>
              </w:rPr>
            </w:pPr>
            <w:r w:rsidRPr="00015797">
              <w:rPr>
                <w:rFonts w:ascii="Bahnschrift SemiLight" w:hAnsi="Bahnschrift SemiLight" w:cs="Arial"/>
                <w:sz w:val="24"/>
                <w:szCs w:val="23"/>
              </w:rPr>
              <w:t>Preferred Start Date</w:t>
            </w:r>
          </w:p>
        </w:tc>
        <w:tc>
          <w:tcPr>
            <w:tcW w:w="5670" w:type="dxa"/>
            <w:tcBorders>
              <w:top w:val="single" w:sz="4" w:space="0" w:color="1F3864" w:themeColor="accent5" w:themeShade="80"/>
              <w:left w:val="single" w:sz="4" w:space="0" w:color="767171" w:themeColor="background2" w:themeShade="80"/>
              <w:bottom w:val="thinThickSmallGap" w:sz="24" w:space="0" w:color="1F3864" w:themeColor="accent5" w:themeShade="80"/>
              <w:right w:val="single" w:sz="4" w:space="0" w:color="767171" w:themeColor="background2" w:themeShade="80"/>
            </w:tcBorders>
            <w:shd w:val="clear" w:color="auto" w:fill="9CC2E5" w:themeFill="accent1" w:themeFillTint="99"/>
          </w:tcPr>
          <w:p w14:paraId="64E1E207" w14:textId="77777777" w:rsidR="00BB71E5" w:rsidRDefault="00BB71E5" w:rsidP="00015797">
            <w:pPr>
              <w:ind w:right="-194"/>
              <w:rPr>
                <w:rFonts w:ascii="Bahnschrift SemiLight" w:hAnsi="Bahnschrift SemiLight" w:cs="Arial"/>
                <w:sz w:val="24"/>
                <w:szCs w:val="23"/>
              </w:rPr>
            </w:pPr>
          </w:p>
          <w:p w14:paraId="14613CDD" w14:textId="59E943FB" w:rsidR="00016EE8" w:rsidRPr="00015797" w:rsidRDefault="00016EE8" w:rsidP="00015797">
            <w:pPr>
              <w:ind w:right="-194"/>
              <w:rPr>
                <w:rFonts w:ascii="Bahnschrift SemiLight" w:hAnsi="Bahnschrift SemiLight" w:cs="Arial"/>
                <w:sz w:val="24"/>
                <w:szCs w:val="23"/>
              </w:rPr>
            </w:pPr>
            <w:r w:rsidRPr="00015797">
              <w:rPr>
                <w:rFonts w:ascii="Bahnschrift SemiLight" w:hAnsi="Bahnschrift SemiLight" w:cs="Arial"/>
                <w:sz w:val="24"/>
                <w:szCs w:val="23"/>
              </w:rPr>
              <w:t>Comments</w:t>
            </w:r>
            <w:r w:rsidR="00C924AA" w:rsidRPr="00015797">
              <w:rPr>
                <w:rFonts w:ascii="Bahnschrift SemiLight" w:hAnsi="Bahnschrift SemiLight" w:cs="Arial"/>
                <w:sz w:val="24"/>
                <w:szCs w:val="23"/>
              </w:rPr>
              <w:t>, Rate Change</w:t>
            </w:r>
            <w:r w:rsidR="00455874" w:rsidRPr="00015797">
              <w:rPr>
                <w:rFonts w:ascii="Bahnschrift SemiLight" w:hAnsi="Bahnschrift SemiLight" w:cs="Arial"/>
                <w:sz w:val="24"/>
                <w:szCs w:val="23"/>
              </w:rPr>
              <w:t>s</w:t>
            </w:r>
            <w:r w:rsidR="00C924AA" w:rsidRPr="00015797">
              <w:rPr>
                <w:rFonts w:ascii="Bahnschrift SemiLight" w:hAnsi="Bahnschrift SemiLight" w:cs="Arial"/>
                <w:sz w:val="24"/>
                <w:szCs w:val="23"/>
              </w:rPr>
              <w:t xml:space="preserve">, </w:t>
            </w:r>
            <w:r w:rsidR="00287CD2" w:rsidRPr="00015797">
              <w:rPr>
                <w:rFonts w:ascii="Bahnschrift SemiLight" w:hAnsi="Bahnschrift SemiLight" w:cs="Arial"/>
                <w:sz w:val="24"/>
                <w:szCs w:val="23"/>
              </w:rPr>
              <w:t xml:space="preserve">Stipend Breakdown, </w:t>
            </w:r>
            <w:r w:rsidR="004214AC" w:rsidRPr="00015797">
              <w:rPr>
                <w:rFonts w:ascii="Bahnschrift SemiLight" w:hAnsi="Bahnschrift SemiLight" w:cs="Arial"/>
                <w:sz w:val="24"/>
                <w:szCs w:val="23"/>
              </w:rPr>
              <w:t>etc.</w:t>
            </w:r>
          </w:p>
        </w:tc>
      </w:tr>
      <w:tr w:rsidR="005C287C" w:rsidRPr="009D3152" w14:paraId="2C1BB6F0" w14:textId="77777777" w:rsidTr="00CA77C2">
        <w:trPr>
          <w:trHeight w:val="354"/>
        </w:trPr>
        <w:tc>
          <w:tcPr>
            <w:tcW w:w="1615" w:type="dxa"/>
            <w:tcBorders>
              <w:top w:val="thinThickSmallGap" w:sz="24" w:space="0" w:color="1F3864" w:themeColor="accent5" w:themeShade="80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8813098" w14:textId="0004F2E1" w:rsidR="00016EE8" w:rsidRPr="00015797" w:rsidRDefault="00016EE8" w:rsidP="00610771">
            <w:pPr>
              <w:jc w:val="center"/>
              <w:rPr>
                <w:rFonts w:ascii="Georgia" w:eastAsia="Times New Roman" w:hAnsi="Georgia" w:cstheme="minorHAnsi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thinThickSmallGap" w:sz="24" w:space="0" w:color="1F3864" w:themeColor="accent5" w:themeShade="80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F321075" w14:textId="5DA5BE5F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thinThickSmallGap" w:sz="24" w:space="0" w:color="1F3864" w:themeColor="accent5" w:themeShade="80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EAE3F27" w14:textId="545C558C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thinThickSmallGap" w:sz="24" w:space="0" w:color="1F3864" w:themeColor="accent5" w:themeShade="80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DB9B5AD" w14:textId="6847EDE0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thinThickSmallGap" w:sz="24" w:space="0" w:color="1F3864" w:themeColor="accent5" w:themeShade="80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87B8716" w14:textId="4BDC633C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thinThickSmallGap" w:sz="24" w:space="0" w:color="1F3864" w:themeColor="accent5" w:themeShade="80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5FA3DA5" w14:textId="4E2659AC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5C287C" w:rsidRPr="009D3152" w14:paraId="14B1B1D0" w14:textId="77777777" w:rsidTr="00CA77C2">
        <w:trPr>
          <w:trHeight w:val="354"/>
        </w:trPr>
        <w:tc>
          <w:tcPr>
            <w:tcW w:w="16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E45E06A" w14:textId="58E65523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9BF2A70" w14:textId="10A75F70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5CBBBB1" w14:textId="754AB000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3EC4734" w14:textId="2A7D906E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A743776" w14:textId="60D7D9B9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7806BBA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5C287C" w:rsidRPr="009D3152" w14:paraId="4C839146" w14:textId="77777777" w:rsidTr="00CA77C2">
        <w:trPr>
          <w:trHeight w:val="354"/>
        </w:trPr>
        <w:tc>
          <w:tcPr>
            <w:tcW w:w="16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FFF3A1F" w14:textId="175D10C9" w:rsidR="00016EE8" w:rsidRPr="00015797" w:rsidRDefault="00016EE8" w:rsidP="0037771F">
            <w:pPr>
              <w:rPr>
                <w:rFonts w:ascii="Georgia" w:eastAsia="Times New Roman" w:hAnsi="Georgia" w:cstheme="minorHAnsi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D65B4FD" w14:textId="6859B40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1DD4652" w14:textId="4D4EEF8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0DF8DBB" w14:textId="2E1A8E93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B4D25E2" w14:textId="53C881BF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9B33EF8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015797" w:rsidRPr="009D3152" w14:paraId="46673C93" w14:textId="77777777" w:rsidTr="00CA77C2">
        <w:trPr>
          <w:trHeight w:val="354"/>
        </w:trPr>
        <w:tc>
          <w:tcPr>
            <w:tcW w:w="16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BF9F13F" w14:textId="77777777" w:rsidR="00015797" w:rsidRPr="00015797" w:rsidRDefault="00015797" w:rsidP="0037771F">
            <w:pPr>
              <w:rPr>
                <w:rFonts w:ascii="Georgia" w:eastAsia="Times New Roman" w:hAnsi="Georgia" w:cstheme="minorHAnsi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EA90402" w14:textId="77777777" w:rsidR="00015797" w:rsidRPr="00015797" w:rsidRDefault="00015797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50B9FF5" w14:textId="77777777" w:rsidR="00015797" w:rsidRPr="00015797" w:rsidRDefault="00015797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A047509" w14:textId="77777777" w:rsidR="00015797" w:rsidRPr="00015797" w:rsidRDefault="00015797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80ABDFF" w14:textId="77777777" w:rsidR="00015797" w:rsidRPr="00015797" w:rsidRDefault="00015797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F27D6C6" w14:textId="77777777" w:rsidR="00015797" w:rsidRPr="00015797" w:rsidRDefault="00015797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015797" w:rsidRPr="009D3152" w14:paraId="50A27564" w14:textId="77777777" w:rsidTr="00CA77C2">
        <w:trPr>
          <w:trHeight w:val="354"/>
        </w:trPr>
        <w:tc>
          <w:tcPr>
            <w:tcW w:w="16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C0B324C" w14:textId="77777777" w:rsidR="00015797" w:rsidRPr="00015797" w:rsidRDefault="00015797" w:rsidP="0037771F">
            <w:pPr>
              <w:rPr>
                <w:rFonts w:ascii="Georgia" w:eastAsia="Times New Roman" w:hAnsi="Georgia" w:cstheme="minorHAnsi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4954848" w14:textId="77777777" w:rsidR="00015797" w:rsidRPr="00015797" w:rsidRDefault="00015797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E02AE41" w14:textId="77777777" w:rsidR="00015797" w:rsidRPr="00015797" w:rsidRDefault="00015797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7E39AA7" w14:textId="77777777" w:rsidR="00015797" w:rsidRPr="00015797" w:rsidRDefault="00015797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1B0C480" w14:textId="77777777" w:rsidR="00015797" w:rsidRPr="00015797" w:rsidRDefault="00015797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56F0F15" w14:textId="77777777" w:rsidR="00015797" w:rsidRPr="00015797" w:rsidRDefault="00015797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015797" w:rsidRPr="009D3152" w14:paraId="6ECAE341" w14:textId="77777777" w:rsidTr="00CA77C2">
        <w:trPr>
          <w:trHeight w:val="354"/>
        </w:trPr>
        <w:tc>
          <w:tcPr>
            <w:tcW w:w="16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08DE42E" w14:textId="77777777" w:rsidR="00015797" w:rsidRPr="00015797" w:rsidRDefault="00015797" w:rsidP="0037771F">
            <w:pPr>
              <w:rPr>
                <w:rFonts w:ascii="Georgia" w:eastAsia="Times New Roman" w:hAnsi="Georgia" w:cstheme="minorHAnsi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E776C55" w14:textId="77777777" w:rsidR="00015797" w:rsidRPr="00015797" w:rsidRDefault="00015797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683FEDA" w14:textId="77777777" w:rsidR="00015797" w:rsidRPr="00015797" w:rsidRDefault="00015797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0D4C258" w14:textId="77777777" w:rsidR="00015797" w:rsidRPr="00015797" w:rsidRDefault="00015797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D3078F2" w14:textId="77777777" w:rsidR="00015797" w:rsidRPr="00015797" w:rsidRDefault="00015797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79CA0A0" w14:textId="77777777" w:rsidR="00015797" w:rsidRPr="00015797" w:rsidRDefault="00015797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5C287C" w:rsidRPr="009D3152" w14:paraId="396C48D8" w14:textId="77777777" w:rsidTr="00CA77C2">
        <w:trPr>
          <w:trHeight w:val="354"/>
        </w:trPr>
        <w:tc>
          <w:tcPr>
            <w:tcW w:w="16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E691AD2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136D5CF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FB55937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B2C65DA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14C31FD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43268FED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5C287C" w:rsidRPr="009D3152" w14:paraId="3A2FED79" w14:textId="77777777" w:rsidTr="00CA77C2">
        <w:trPr>
          <w:trHeight w:val="354"/>
        </w:trPr>
        <w:tc>
          <w:tcPr>
            <w:tcW w:w="16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A3366D5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0FC9D1E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6247A64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07816C8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A0EE94B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918DF01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5C287C" w:rsidRPr="009D3152" w14:paraId="5DB43960" w14:textId="77777777" w:rsidTr="00CA77C2">
        <w:trPr>
          <w:trHeight w:val="354"/>
        </w:trPr>
        <w:tc>
          <w:tcPr>
            <w:tcW w:w="16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BB61911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3EC8068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30710D0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11CDF4B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BAF1104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62CBF4F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5C287C" w:rsidRPr="009D3152" w14:paraId="0CA97C0C" w14:textId="77777777" w:rsidTr="00CA77C2">
        <w:trPr>
          <w:trHeight w:val="354"/>
        </w:trPr>
        <w:tc>
          <w:tcPr>
            <w:tcW w:w="16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60A057E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981A903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E3DA3B1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DBDA1B4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EF15F83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CEA1EBA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5C287C" w:rsidRPr="009D3152" w14:paraId="5CAA940E" w14:textId="77777777" w:rsidTr="00CA77C2">
        <w:trPr>
          <w:trHeight w:val="354"/>
        </w:trPr>
        <w:tc>
          <w:tcPr>
            <w:tcW w:w="16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D088DDB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C36FEEC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4DE80F2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7059C40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D484960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933A0BF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5C287C" w:rsidRPr="009D3152" w14:paraId="44FE0978" w14:textId="77777777" w:rsidTr="00CA77C2">
        <w:trPr>
          <w:trHeight w:val="354"/>
        </w:trPr>
        <w:tc>
          <w:tcPr>
            <w:tcW w:w="16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6FEC0AB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63222F5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C73EBBF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627B096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BAE5F28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B855440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5C287C" w:rsidRPr="009D3152" w14:paraId="5AF02CBC" w14:textId="77777777" w:rsidTr="00CA77C2">
        <w:trPr>
          <w:trHeight w:val="354"/>
        </w:trPr>
        <w:tc>
          <w:tcPr>
            <w:tcW w:w="16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0BE21ED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928590F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BED9E18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5D6CC20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C618D17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56E7E4D" w14:textId="77777777" w:rsidR="00016EE8" w:rsidRPr="00015797" w:rsidRDefault="00016EE8" w:rsidP="00E84CC8">
            <w:pPr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</w:tr>
    </w:tbl>
    <w:p w14:paraId="6009478B" w14:textId="77777777" w:rsidR="00455874" w:rsidRDefault="00455874" w:rsidP="003E36B0">
      <w:pPr>
        <w:rPr>
          <w:rFonts w:ascii="Georgia" w:hAnsi="Georgia" w:cs="Arial"/>
          <w:b/>
          <w:bCs/>
          <w:sz w:val="28"/>
          <w:highlight w:val="yellow"/>
        </w:rPr>
      </w:pPr>
    </w:p>
    <w:p w14:paraId="07A708A7" w14:textId="775291FF" w:rsidR="0084027B" w:rsidRPr="00540778" w:rsidRDefault="00540778" w:rsidP="0084027B">
      <w:pPr>
        <w:rPr>
          <w:rFonts w:ascii="Lucida Fax" w:hAnsi="Lucida Fax" w:cs="Arial"/>
          <w:b/>
        </w:rPr>
      </w:pPr>
      <w:r w:rsidRPr="00540778">
        <w:rPr>
          <w:rFonts w:ascii="Lucida Fax" w:hAnsi="Lucida Fax" w:cs="Arial"/>
          <w:b/>
        </w:rPr>
        <w:t>Statement of WORK AUTHORIZATION</w:t>
      </w:r>
      <w:r w:rsidR="0084027B" w:rsidRPr="00540778">
        <w:rPr>
          <w:rFonts w:ascii="Lucida Fax" w:hAnsi="Lucida Fax" w:cs="Arial"/>
          <w:b/>
        </w:rPr>
        <w:t>:</w:t>
      </w:r>
    </w:p>
    <w:p w14:paraId="2E03B0AE" w14:textId="32A4A2D9" w:rsidR="0084027B" w:rsidRDefault="00540778" w:rsidP="0084027B">
      <w:pPr>
        <w:rPr>
          <w:rFonts w:ascii="Georgia" w:hAnsi="Georgia" w:cs="Arial"/>
        </w:rPr>
      </w:pPr>
      <w:r w:rsidRPr="00540778">
        <w:rPr>
          <w:rFonts w:ascii="Georgia" w:hAnsi="Georgia" w:cs="Arial"/>
        </w:rPr>
        <w:t>STUDENTS MAY NOT BEGIN WORKING UNTIL A WORK AUTHORIZATION HAS BEEN EMAILED TO THE STUDENT/</w:t>
      </w:r>
      <w:r w:rsidR="00FE6011" w:rsidRPr="00540778">
        <w:rPr>
          <w:rFonts w:ascii="Georgia" w:hAnsi="Georgia" w:cs="Arial"/>
        </w:rPr>
        <w:t xml:space="preserve">SUPERVISOR. </w:t>
      </w:r>
      <w:r w:rsidRPr="00540778">
        <w:rPr>
          <w:rFonts w:ascii="Georgia" w:hAnsi="Georgia" w:cs="Arial"/>
        </w:rPr>
        <w:t xml:space="preserve">Working prior to receiving a work authorization </w:t>
      </w:r>
      <w:r w:rsidR="00B47E9F">
        <w:rPr>
          <w:rFonts w:ascii="Georgia" w:hAnsi="Georgia" w:cs="Arial"/>
        </w:rPr>
        <w:t xml:space="preserve">will result in potential compliance issues for UMW.  </w:t>
      </w:r>
      <w:r w:rsidRPr="00540778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Please sign below to begin the hiring process.</w:t>
      </w:r>
    </w:p>
    <w:p w14:paraId="29931F0B" w14:textId="292C216B" w:rsidR="00540778" w:rsidRPr="00540778" w:rsidRDefault="00540778" w:rsidP="0084027B">
      <w:pPr>
        <w:rPr>
          <w:rFonts w:ascii="Georgia" w:hAnsi="Georgia" w:cs="Arial"/>
        </w:rPr>
      </w:pPr>
      <w:r>
        <w:rPr>
          <w:rFonts w:ascii="Georgia" w:hAnsi="Georgia" w:cs="Arial"/>
        </w:rPr>
        <w:t>__________________________________________________________________________________________________</w:t>
      </w:r>
    </w:p>
    <w:p w14:paraId="1E7BB0D1" w14:textId="6AF56789" w:rsidR="00540778" w:rsidRPr="00540778" w:rsidRDefault="00540778" w:rsidP="0084027B">
      <w:pPr>
        <w:rPr>
          <w:rFonts w:ascii="Georgia" w:hAnsi="Georgia" w:cs="Arial"/>
          <w:sz w:val="16"/>
          <w:szCs w:val="16"/>
        </w:rPr>
      </w:pPr>
      <w:r w:rsidRPr="00540778">
        <w:rPr>
          <w:rFonts w:ascii="Georgia" w:hAnsi="Georgia" w:cs="Arial"/>
          <w:sz w:val="16"/>
          <w:szCs w:val="16"/>
        </w:rPr>
        <w:t>Supervisor signature</w:t>
      </w:r>
      <w:r w:rsidRPr="00540778">
        <w:rPr>
          <w:rFonts w:ascii="Georgia" w:hAnsi="Georgia" w:cs="Arial"/>
          <w:sz w:val="16"/>
          <w:szCs w:val="16"/>
        </w:rPr>
        <w:tab/>
      </w:r>
      <w:r w:rsidRPr="00540778">
        <w:rPr>
          <w:rFonts w:ascii="Georgia" w:hAnsi="Georgia" w:cs="Arial"/>
          <w:sz w:val="16"/>
          <w:szCs w:val="16"/>
        </w:rPr>
        <w:tab/>
      </w:r>
      <w:r w:rsidRPr="00540778">
        <w:rPr>
          <w:rFonts w:ascii="Georgia" w:hAnsi="Georgia" w:cs="Arial"/>
          <w:sz w:val="16"/>
          <w:szCs w:val="16"/>
        </w:rPr>
        <w:tab/>
      </w:r>
      <w:r w:rsidRPr="00540778">
        <w:rPr>
          <w:rFonts w:ascii="Georgia" w:hAnsi="Georgia" w:cs="Arial"/>
          <w:sz w:val="16"/>
          <w:szCs w:val="16"/>
        </w:rPr>
        <w:tab/>
      </w:r>
      <w:r w:rsidRPr="00540778">
        <w:rPr>
          <w:rFonts w:ascii="Georgia" w:hAnsi="Georgia" w:cs="Arial"/>
          <w:sz w:val="16"/>
          <w:szCs w:val="16"/>
        </w:rPr>
        <w:tab/>
      </w:r>
      <w:r w:rsidRPr="00540778">
        <w:rPr>
          <w:rFonts w:ascii="Georgia" w:hAnsi="Georgia" w:cs="Arial"/>
          <w:sz w:val="16"/>
          <w:szCs w:val="16"/>
        </w:rPr>
        <w:tab/>
      </w:r>
      <w:r w:rsidRPr="00540778">
        <w:rPr>
          <w:rFonts w:ascii="Georgia" w:hAnsi="Georgia" w:cs="Arial"/>
          <w:sz w:val="16"/>
          <w:szCs w:val="16"/>
        </w:rPr>
        <w:tab/>
      </w:r>
      <w:r w:rsidRPr="00540778">
        <w:rPr>
          <w:rFonts w:ascii="Georgia" w:hAnsi="Georgia" w:cs="Arial"/>
          <w:sz w:val="16"/>
          <w:szCs w:val="16"/>
        </w:rPr>
        <w:tab/>
      </w:r>
      <w:r w:rsidRPr="00540778">
        <w:rPr>
          <w:rFonts w:ascii="Georgia" w:hAnsi="Georgia" w:cs="Arial"/>
          <w:sz w:val="16"/>
          <w:szCs w:val="16"/>
        </w:rPr>
        <w:tab/>
      </w:r>
      <w:r w:rsidRPr="00540778">
        <w:rPr>
          <w:rFonts w:ascii="Georgia" w:hAnsi="Georgia" w:cs="Arial"/>
          <w:sz w:val="16"/>
          <w:szCs w:val="16"/>
        </w:rPr>
        <w:tab/>
      </w:r>
      <w:r w:rsidRPr="00540778">
        <w:rPr>
          <w:rFonts w:ascii="Georgia" w:hAnsi="Georgia" w:cs="Arial"/>
          <w:sz w:val="16"/>
          <w:szCs w:val="16"/>
        </w:rPr>
        <w:tab/>
      </w:r>
      <w:r w:rsidRPr="00540778">
        <w:rPr>
          <w:rFonts w:ascii="Georgia" w:hAnsi="Georgia" w:cs="Arial"/>
          <w:sz w:val="16"/>
          <w:szCs w:val="16"/>
        </w:rPr>
        <w:tab/>
      </w:r>
      <w:r w:rsidRPr="00540778">
        <w:rPr>
          <w:rFonts w:ascii="Georgia" w:hAnsi="Georgia" w:cs="Arial"/>
          <w:sz w:val="16"/>
          <w:szCs w:val="16"/>
        </w:rPr>
        <w:tab/>
      </w:r>
      <w:r w:rsidRPr="00540778">
        <w:rPr>
          <w:rFonts w:ascii="Georgia" w:hAnsi="Georgia" w:cs="Arial"/>
          <w:sz w:val="16"/>
          <w:szCs w:val="16"/>
        </w:rPr>
        <w:tab/>
        <w:t>Date</w:t>
      </w:r>
    </w:p>
    <w:p w14:paraId="1970F130" w14:textId="747DD40E" w:rsidR="0084027B" w:rsidRPr="00015797" w:rsidRDefault="0084027B" w:rsidP="0084027B">
      <w:pPr>
        <w:rPr>
          <w:rFonts w:ascii="Lucida Fax" w:hAnsi="Lucida Fax" w:cs="Arial"/>
          <w:sz w:val="24"/>
        </w:rPr>
      </w:pPr>
      <w:r w:rsidRPr="00015797">
        <w:rPr>
          <w:rFonts w:ascii="Lucida Fax" w:hAnsi="Lucida Fax" w:cs="Arial"/>
          <w:b/>
          <w:bCs/>
          <w:sz w:val="28"/>
        </w:rPr>
        <w:lastRenderedPageBreak/>
        <w:t>ELIGIBILITY FOR STUDENT EMPLOYMENT:</w:t>
      </w:r>
    </w:p>
    <w:p w14:paraId="1CE16BC6" w14:textId="2D211194" w:rsidR="0084027B" w:rsidRPr="00105ABC" w:rsidRDefault="0084027B" w:rsidP="0084027B">
      <w:pPr>
        <w:numPr>
          <w:ilvl w:val="0"/>
          <w:numId w:val="2"/>
        </w:numPr>
        <w:rPr>
          <w:rFonts w:ascii="Georgia" w:hAnsi="Georgia" w:cs="Arial"/>
          <w:sz w:val="24"/>
          <w:szCs w:val="24"/>
        </w:rPr>
      </w:pPr>
      <w:r w:rsidRPr="00105ABC">
        <w:rPr>
          <w:rFonts w:ascii="Georgia" w:hAnsi="Georgia" w:cs="Arial"/>
          <w:sz w:val="24"/>
          <w:szCs w:val="24"/>
        </w:rPr>
        <w:t>All positions during the traditional academic year (fall and spring terms) require at least half-time enrollment (6 credits for undergraduate students, 5 credits for graduate students) in a degree-seeking program. </w:t>
      </w:r>
    </w:p>
    <w:p w14:paraId="0EF03A4A" w14:textId="4E572112" w:rsidR="0084027B" w:rsidRPr="00105ABC" w:rsidRDefault="0084027B" w:rsidP="0084027B">
      <w:pPr>
        <w:numPr>
          <w:ilvl w:val="0"/>
          <w:numId w:val="2"/>
        </w:numPr>
        <w:rPr>
          <w:rFonts w:ascii="Georgia" w:hAnsi="Georgia" w:cs="Arial"/>
          <w:sz w:val="24"/>
          <w:szCs w:val="24"/>
        </w:rPr>
      </w:pPr>
      <w:r w:rsidRPr="00105ABC">
        <w:rPr>
          <w:rFonts w:ascii="Georgia" w:hAnsi="Georgia" w:cs="Arial"/>
          <w:sz w:val="24"/>
          <w:szCs w:val="24"/>
        </w:rPr>
        <w:t>Summer employment require</w:t>
      </w:r>
      <w:r w:rsidR="00105ABC" w:rsidRPr="00105ABC">
        <w:rPr>
          <w:rFonts w:ascii="Georgia" w:hAnsi="Georgia" w:cs="Arial"/>
          <w:sz w:val="24"/>
          <w:szCs w:val="24"/>
        </w:rPr>
        <w:t>ments:</w:t>
      </w:r>
      <w:r w:rsidRPr="00105ABC">
        <w:rPr>
          <w:rFonts w:ascii="Georgia" w:hAnsi="Georgia" w:cs="Arial"/>
          <w:sz w:val="24"/>
          <w:szCs w:val="24"/>
        </w:rPr>
        <w:t xml:space="preserve"> in a degree-seeking program, at least half-time enrollment in the previous spring term and at least half-time enrollment in the following fall term. Enrollment during the summer is not a requirement for summer employment. </w:t>
      </w:r>
    </w:p>
    <w:p w14:paraId="30F8D491" w14:textId="77777777" w:rsidR="0084027B" w:rsidRPr="00105ABC" w:rsidRDefault="0084027B" w:rsidP="0084027B">
      <w:pPr>
        <w:numPr>
          <w:ilvl w:val="1"/>
          <w:numId w:val="2"/>
        </w:numPr>
        <w:rPr>
          <w:rFonts w:ascii="Georgia" w:hAnsi="Georgia" w:cs="Arial"/>
          <w:sz w:val="24"/>
          <w:szCs w:val="24"/>
        </w:rPr>
      </w:pPr>
      <w:r w:rsidRPr="00105ABC">
        <w:rPr>
          <w:rFonts w:ascii="Georgia" w:hAnsi="Georgia" w:cs="Arial"/>
          <w:sz w:val="24"/>
          <w:szCs w:val="24"/>
        </w:rPr>
        <w:t>Seniors graduating in the spring term are not eligible to work during the following summer term.</w:t>
      </w:r>
    </w:p>
    <w:p w14:paraId="54FF948B" w14:textId="68AC2398" w:rsidR="0084027B" w:rsidRPr="00105ABC" w:rsidRDefault="0084027B" w:rsidP="0084027B">
      <w:pPr>
        <w:numPr>
          <w:ilvl w:val="1"/>
          <w:numId w:val="2"/>
        </w:numPr>
        <w:rPr>
          <w:rFonts w:ascii="Georgia" w:hAnsi="Georgia" w:cs="Arial"/>
          <w:sz w:val="24"/>
          <w:szCs w:val="24"/>
        </w:rPr>
      </w:pPr>
      <w:r w:rsidRPr="00105ABC">
        <w:rPr>
          <w:rFonts w:ascii="Georgia" w:hAnsi="Georgia" w:cs="Arial"/>
          <w:sz w:val="24"/>
          <w:szCs w:val="24"/>
        </w:rPr>
        <w:t>Incoming freshmen starting enrollment in the fall term are not eligible to work during the prior summer term. </w:t>
      </w:r>
    </w:p>
    <w:p w14:paraId="140C3907" w14:textId="77777777" w:rsidR="00451FD0" w:rsidRDefault="0084027B" w:rsidP="0084027B">
      <w:pPr>
        <w:numPr>
          <w:ilvl w:val="0"/>
          <w:numId w:val="2"/>
        </w:numPr>
        <w:rPr>
          <w:rFonts w:ascii="Georgia" w:hAnsi="Georgia" w:cs="Arial"/>
          <w:sz w:val="24"/>
          <w:szCs w:val="24"/>
        </w:rPr>
      </w:pPr>
      <w:r w:rsidRPr="00105ABC">
        <w:rPr>
          <w:rFonts w:ascii="Georgia" w:hAnsi="Georgia" w:cs="Arial"/>
          <w:sz w:val="24"/>
          <w:szCs w:val="24"/>
        </w:rPr>
        <w:t xml:space="preserve">Federal Work-Study jobs require the employee maintain a 2.00 CGPA and </w:t>
      </w:r>
      <w:hyperlink r:id="rId9" w:history="1">
        <w:r w:rsidRPr="00105ABC">
          <w:rPr>
            <w:rStyle w:val="Hyperlink"/>
            <w:rFonts w:ascii="Georgia" w:hAnsi="Georgia" w:cs="Arial"/>
            <w:sz w:val="24"/>
            <w:szCs w:val="24"/>
          </w:rPr>
          <w:t>Satisfactory Academic Progress</w:t>
        </w:r>
      </w:hyperlink>
      <w:r w:rsidRPr="00105ABC">
        <w:rPr>
          <w:rFonts w:ascii="Georgia" w:hAnsi="Georgia" w:cs="Arial"/>
          <w:sz w:val="24"/>
          <w:szCs w:val="24"/>
        </w:rPr>
        <w:t xml:space="preserve"> with the Office of Financial Aid. </w:t>
      </w:r>
    </w:p>
    <w:p w14:paraId="6BF2787A" w14:textId="7DBE994E" w:rsidR="0084027B" w:rsidRPr="00105ABC" w:rsidRDefault="0084027B" w:rsidP="0084027B">
      <w:pPr>
        <w:numPr>
          <w:ilvl w:val="0"/>
          <w:numId w:val="2"/>
        </w:numPr>
        <w:rPr>
          <w:rFonts w:ascii="Georgia" w:hAnsi="Georgia" w:cs="Arial"/>
          <w:sz w:val="24"/>
          <w:szCs w:val="24"/>
        </w:rPr>
      </w:pPr>
      <w:r w:rsidRPr="00105ABC">
        <w:rPr>
          <w:rFonts w:ascii="Georgia" w:hAnsi="Georgia" w:cs="Arial"/>
          <w:sz w:val="24"/>
          <w:szCs w:val="24"/>
        </w:rPr>
        <w:t xml:space="preserve">Non-FWS jobs do not have the same GPA and academic progress requirement; however, some departments may have their own GPA and academic progress requirements. Students who are in danger of academic probation or suspension are encouraged to </w:t>
      </w:r>
      <w:hyperlink r:id="rId10" w:history="1">
        <w:r w:rsidRPr="00105ABC">
          <w:rPr>
            <w:rStyle w:val="Hyperlink"/>
            <w:rFonts w:ascii="Georgia" w:hAnsi="Georgia" w:cs="Arial"/>
            <w:sz w:val="24"/>
            <w:szCs w:val="24"/>
          </w:rPr>
          <w:t>book an appointment</w:t>
        </w:r>
      </w:hyperlink>
      <w:r w:rsidRPr="00105ABC">
        <w:rPr>
          <w:rFonts w:ascii="Georgia" w:hAnsi="Georgia" w:cs="Arial"/>
          <w:sz w:val="24"/>
          <w:szCs w:val="24"/>
        </w:rPr>
        <w:t xml:space="preserve"> with an academic adviser to ensure academic success at UMW while maintaining a job.</w:t>
      </w:r>
    </w:p>
    <w:p w14:paraId="518E0B72" w14:textId="77777777" w:rsidR="00105ABC" w:rsidRDefault="00105ABC" w:rsidP="0084027B">
      <w:pPr>
        <w:rPr>
          <w:rFonts w:ascii="Georgia" w:hAnsi="Georgia" w:cs="Arial"/>
          <w:b/>
          <w:bCs/>
          <w:sz w:val="28"/>
        </w:rPr>
      </w:pPr>
    </w:p>
    <w:p w14:paraId="03523710" w14:textId="77777777" w:rsidR="00105ABC" w:rsidRDefault="00105ABC" w:rsidP="0084027B">
      <w:pPr>
        <w:rPr>
          <w:rFonts w:ascii="Georgia" w:hAnsi="Georgia" w:cs="Arial"/>
          <w:b/>
          <w:bCs/>
          <w:sz w:val="28"/>
        </w:rPr>
      </w:pPr>
    </w:p>
    <w:p w14:paraId="056F212E" w14:textId="77777777" w:rsidR="00105ABC" w:rsidRDefault="00105ABC" w:rsidP="0084027B">
      <w:pPr>
        <w:rPr>
          <w:rFonts w:ascii="Georgia" w:hAnsi="Georgia" w:cs="Arial"/>
          <w:b/>
          <w:bCs/>
          <w:sz w:val="28"/>
        </w:rPr>
      </w:pPr>
    </w:p>
    <w:p w14:paraId="03622ADC" w14:textId="34FEC6CE" w:rsidR="00105ABC" w:rsidRPr="00105ABC" w:rsidRDefault="00105ABC" w:rsidP="002D1EED">
      <w:pPr>
        <w:rPr>
          <w:rFonts w:ascii="Georgia" w:hAnsi="Georgia" w:cs="Arial"/>
          <w:sz w:val="24"/>
          <w:szCs w:val="24"/>
        </w:rPr>
      </w:pPr>
    </w:p>
    <w:sectPr w:rsidR="00105ABC" w:rsidRPr="00105ABC" w:rsidSect="0001579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DC21E" w14:textId="77777777" w:rsidR="003057FE" w:rsidRDefault="003057FE" w:rsidP="00015797">
      <w:pPr>
        <w:spacing w:after="0" w:line="240" w:lineRule="auto"/>
      </w:pPr>
      <w:r>
        <w:separator/>
      </w:r>
    </w:p>
  </w:endnote>
  <w:endnote w:type="continuationSeparator" w:id="0">
    <w:p w14:paraId="59876E46" w14:textId="77777777" w:rsidR="003057FE" w:rsidRDefault="003057FE" w:rsidP="0001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B9AB6" w14:textId="77777777" w:rsidR="003057FE" w:rsidRDefault="003057FE" w:rsidP="00015797">
      <w:pPr>
        <w:spacing w:after="0" w:line="240" w:lineRule="auto"/>
      </w:pPr>
      <w:r>
        <w:separator/>
      </w:r>
    </w:p>
  </w:footnote>
  <w:footnote w:type="continuationSeparator" w:id="0">
    <w:p w14:paraId="24647BD1" w14:textId="77777777" w:rsidR="003057FE" w:rsidRDefault="003057FE" w:rsidP="00015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C71"/>
    <w:multiLevelType w:val="hybridMultilevel"/>
    <w:tmpl w:val="0CCC636A"/>
    <w:lvl w:ilvl="0" w:tplc="A5E607F2">
      <w:numFmt w:val="bullet"/>
      <w:lvlText w:val="•"/>
      <w:lvlJc w:val="left"/>
      <w:pPr>
        <w:ind w:left="1110" w:hanging="75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A51"/>
    <w:multiLevelType w:val="hybridMultilevel"/>
    <w:tmpl w:val="AF3E53CA"/>
    <w:lvl w:ilvl="0" w:tplc="A5E607F2">
      <w:numFmt w:val="bullet"/>
      <w:lvlText w:val="•"/>
      <w:lvlJc w:val="left"/>
      <w:pPr>
        <w:ind w:left="1110" w:hanging="75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214E"/>
    <w:multiLevelType w:val="hybridMultilevel"/>
    <w:tmpl w:val="05FE4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71D66"/>
    <w:multiLevelType w:val="hybridMultilevel"/>
    <w:tmpl w:val="0FB00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A5BB9"/>
    <w:multiLevelType w:val="multilevel"/>
    <w:tmpl w:val="081C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24628C"/>
    <w:multiLevelType w:val="hybridMultilevel"/>
    <w:tmpl w:val="CCAEE260"/>
    <w:lvl w:ilvl="0" w:tplc="A5E607F2">
      <w:numFmt w:val="bullet"/>
      <w:lvlText w:val="•"/>
      <w:lvlJc w:val="left"/>
      <w:pPr>
        <w:ind w:left="1110" w:hanging="75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25A"/>
    <w:rsid w:val="00015797"/>
    <w:rsid w:val="00016EE8"/>
    <w:rsid w:val="00020F2E"/>
    <w:rsid w:val="00034C80"/>
    <w:rsid w:val="00037532"/>
    <w:rsid w:val="00051205"/>
    <w:rsid w:val="00057A28"/>
    <w:rsid w:val="000A4EA9"/>
    <w:rsid w:val="000C05AC"/>
    <w:rsid w:val="000E7F75"/>
    <w:rsid w:val="00105ABC"/>
    <w:rsid w:val="00122447"/>
    <w:rsid w:val="00127E14"/>
    <w:rsid w:val="00131C93"/>
    <w:rsid w:val="00160482"/>
    <w:rsid w:val="001C3B67"/>
    <w:rsid w:val="001D0AAE"/>
    <w:rsid w:val="001F22E7"/>
    <w:rsid w:val="00223FA1"/>
    <w:rsid w:val="00246204"/>
    <w:rsid w:val="00287CD2"/>
    <w:rsid w:val="002D1EED"/>
    <w:rsid w:val="003057FE"/>
    <w:rsid w:val="00313493"/>
    <w:rsid w:val="00330EF9"/>
    <w:rsid w:val="0034098A"/>
    <w:rsid w:val="0037771F"/>
    <w:rsid w:val="00387933"/>
    <w:rsid w:val="003D2894"/>
    <w:rsid w:val="003E36B0"/>
    <w:rsid w:val="003F5C2A"/>
    <w:rsid w:val="004214AC"/>
    <w:rsid w:val="00437D09"/>
    <w:rsid w:val="00451FD0"/>
    <w:rsid w:val="00455874"/>
    <w:rsid w:val="004905D2"/>
    <w:rsid w:val="004B5A5F"/>
    <w:rsid w:val="004D5B5B"/>
    <w:rsid w:val="004D642F"/>
    <w:rsid w:val="004E5022"/>
    <w:rsid w:val="00517496"/>
    <w:rsid w:val="00531556"/>
    <w:rsid w:val="00540778"/>
    <w:rsid w:val="0055154F"/>
    <w:rsid w:val="005B5404"/>
    <w:rsid w:val="005C287C"/>
    <w:rsid w:val="005D6976"/>
    <w:rsid w:val="005F30E1"/>
    <w:rsid w:val="00602303"/>
    <w:rsid w:val="00610771"/>
    <w:rsid w:val="00661EB7"/>
    <w:rsid w:val="006A5562"/>
    <w:rsid w:val="006A70BC"/>
    <w:rsid w:val="006B0DD6"/>
    <w:rsid w:val="0070525A"/>
    <w:rsid w:val="00723F30"/>
    <w:rsid w:val="007252A0"/>
    <w:rsid w:val="0073086B"/>
    <w:rsid w:val="007411D6"/>
    <w:rsid w:val="0075150D"/>
    <w:rsid w:val="0084027B"/>
    <w:rsid w:val="00851829"/>
    <w:rsid w:val="008D2E09"/>
    <w:rsid w:val="008F30D6"/>
    <w:rsid w:val="009051E1"/>
    <w:rsid w:val="00953333"/>
    <w:rsid w:val="009D3152"/>
    <w:rsid w:val="009F22FD"/>
    <w:rsid w:val="00A032FD"/>
    <w:rsid w:val="00B147DC"/>
    <w:rsid w:val="00B47E9F"/>
    <w:rsid w:val="00BA3BC0"/>
    <w:rsid w:val="00BB71E5"/>
    <w:rsid w:val="00C04946"/>
    <w:rsid w:val="00C12A2C"/>
    <w:rsid w:val="00C44CEB"/>
    <w:rsid w:val="00C924AA"/>
    <w:rsid w:val="00C97BFB"/>
    <w:rsid w:val="00CA77C2"/>
    <w:rsid w:val="00CC1BA4"/>
    <w:rsid w:val="00D12616"/>
    <w:rsid w:val="00DB6134"/>
    <w:rsid w:val="00E0377E"/>
    <w:rsid w:val="00E067AD"/>
    <w:rsid w:val="00E11048"/>
    <w:rsid w:val="00E55A12"/>
    <w:rsid w:val="00E73B41"/>
    <w:rsid w:val="00E84CC8"/>
    <w:rsid w:val="00F3123C"/>
    <w:rsid w:val="00FA1579"/>
    <w:rsid w:val="00FC2FA3"/>
    <w:rsid w:val="00FD37B4"/>
    <w:rsid w:val="00FE6011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4ED5D"/>
  <w15:chartTrackingRefBased/>
  <w15:docId w15:val="{90FF361C-0FB8-44D6-920B-2088C1A0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2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52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0B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3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11D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4027B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D642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5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797"/>
  </w:style>
  <w:style w:type="paragraph" w:styleId="Footer">
    <w:name w:val="footer"/>
    <w:basedOn w:val="Normal"/>
    <w:link w:val="FooterChar"/>
    <w:uiPriority w:val="99"/>
    <w:unhideWhenUsed/>
    <w:rsid w:val="00015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cademics.umw.edu/academicandcareerservices/appointm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mw.edu/financialaid/eligibility/satisfactory-academic-progr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4AA05-2523-41D2-988F-71AD929F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 Washington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Needham (lneedham)</dc:creator>
  <cp:keywords/>
  <dc:description/>
  <cp:lastModifiedBy>Leah Carter (lcarter6)</cp:lastModifiedBy>
  <cp:revision>19</cp:revision>
  <cp:lastPrinted>2016-12-01T14:06:00Z</cp:lastPrinted>
  <dcterms:created xsi:type="dcterms:W3CDTF">2023-07-03T15:40:00Z</dcterms:created>
  <dcterms:modified xsi:type="dcterms:W3CDTF">2025-10-16T15:22:00Z</dcterms:modified>
</cp:coreProperties>
</file>